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DEA1" w14:textId="4970109B" w:rsidR="001967C5" w:rsidRPr="00E379E0" w:rsidRDefault="001967C5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Regulamin przyznawania grantów na wyjazdy na międzynarodowe zjazdy i konferencje diabetologiczne (EASD, ADA, ISPAD) dla naukowców</w:t>
      </w:r>
      <w:r w:rsidR="00EC7681"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-</w:t>
      </w: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członków PTD</w:t>
      </w:r>
    </w:p>
    <w:p w14:paraId="15B494CB" w14:textId="77777777" w:rsidR="00384F81" w:rsidRPr="00E379E0" w:rsidRDefault="00384F81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BCDC1A" w14:textId="77777777" w:rsidR="001967C5" w:rsidRPr="00E379E0" w:rsidRDefault="001967C5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I. Postanowienia ogólne</w:t>
      </w:r>
    </w:p>
    <w:p w14:paraId="2754BFAB" w14:textId="51DE567B" w:rsidR="001967C5" w:rsidRPr="00E379E0" w:rsidRDefault="001967C5" w:rsidP="00196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Polskie Towarzystwo Diabetologiczne wspierając i promując na forum międzynarodowym działalność naukową  członków PTD będących autorami prac z zakresu diabetologii przyznaje granty umożliwiające im udział w międzynarodowych zjazdach i konferencjach</w:t>
      </w:r>
      <w:r w:rsidR="00DC7822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– EASD, ADA, ISPAD.</w:t>
      </w:r>
    </w:p>
    <w:p w14:paraId="7949BE03" w14:textId="3265A708" w:rsidR="001967C5" w:rsidRPr="00E379E0" w:rsidRDefault="001967C5" w:rsidP="00196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Niniejszy Regulamin określa zasady przyznawania przez PTD g</w:t>
      </w:r>
      <w:r w:rsidR="000274CA" w:rsidRPr="00E379E0">
        <w:rPr>
          <w:rFonts w:ascii="Arial" w:eastAsia="Times New Roman" w:hAnsi="Arial" w:cs="Arial"/>
          <w:sz w:val="18"/>
          <w:szCs w:val="18"/>
          <w:lang w:eastAsia="pl-PL"/>
        </w:rPr>
        <w:t>rantów na dofinansowanie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udziału w międzynarodowych zjazdach i konferencjach diabetologicznych</w:t>
      </w:r>
      <w:r w:rsidR="00DC7822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- EASD, ADA, ISPAD 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dalej zwanych „grantami wyjazdowymi PTD” dla  naukowców będących członkami PTD.</w:t>
      </w:r>
      <w:r w:rsidR="00DC7822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D0B7074" w14:textId="339291B4" w:rsidR="001967C5" w:rsidRPr="00E379E0" w:rsidRDefault="001967C5" w:rsidP="00196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Organizatorem Konkursu jest Polskie Towarzystwo Diab</w:t>
      </w:r>
      <w:r w:rsidR="00F134A1" w:rsidRPr="00E379E0">
        <w:rPr>
          <w:rFonts w:ascii="Arial" w:eastAsia="Times New Roman" w:hAnsi="Arial" w:cs="Arial"/>
          <w:sz w:val="18"/>
          <w:szCs w:val="18"/>
          <w:lang w:eastAsia="pl-PL"/>
        </w:rPr>
        <w:t>etologiczne z siedzibą w Łodzi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, ul.</w:t>
      </w:r>
      <w:r w:rsidR="00F134A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Polskich Kolei Państwowych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, NIP 957-06-60-092, wpisane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do rejestru stowarzyszeń, innych organizacji społecznych i zawodowych, fundacji oraz samodzielnych publicz</w:t>
      </w:r>
      <w:r w:rsidR="008C18E6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nych zakładów opieki zdrowotnej </w:t>
      </w:r>
      <w:r w:rsidR="00F134A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Krajowego Rejestru Sądowego 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pod numerem 0000033162, zwane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dalej PTD, w imieniu którego działa Zarząd Główny.</w:t>
      </w:r>
    </w:p>
    <w:p w14:paraId="5AE5D341" w14:textId="492F35BE" w:rsidR="001967C5" w:rsidRPr="00E379E0" w:rsidRDefault="001967C5" w:rsidP="00196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Tre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ść niniejszego Regulaminu jest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dostępna dla wszystkich członków PTD na stronie internetowej</w:t>
      </w:r>
      <w:r w:rsidR="00FB3CB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www.ptdiab.pl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 </w:t>
      </w:r>
      <w:hyperlink w:history="1"/>
      <w:r w:rsidRPr="00E379E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E63889" w14:textId="77777777" w:rsidR="001967C5" w:rsidRPr="00E379E0" w:rsidRDefault="001967C5" w:rsidP="00196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Zgłoszenie wniosku o przyznanie grantu oznacza bezwarunkową zgodę wnioskodawcy na zastosowanie wszystkich postanowień niniejszego Regulaminu oraz na opublikowanie imienia, nazwiska oraz miejsca pracy uczestnika konkursu w materiałach PTD, w tym także na stronie internetowej.</w:t>
      </w:r>
    </w:p>
    <w:p w14:paraId="4413A407" w14:textId="39326E2D" w:rsidR="001967C5" w:rsidRPr="00E379E0" w:rsidRDefault="001967C5" w:rsidP="00196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Wysokość każdego grantu wyjazdowego określa Zarząd Główny PTD, uwzględniając koszty związane z udziałem w danym zjeździe lub konferencji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>, z tym zastrzeżeniem, że kwota grantu w żadnym wypadku nie może przekroczyć</w:t>
      </w:r>
      <w:r w:rsidR="001A5BE2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31ADB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1A5BE2" w:rsidRPr="00E379E0">
        <w:rPr>
          <w:rFonts w:ascii="Arial" w:eastAsia="Times New Roman" w:hAnsi="Arial" w:cs="Arial"/>
          <w:sz w:val="18"/>
          <w:szCs w:val="18"/>
          <w:lang w:eastAsia="pl-PL"/>
        </w:rPr>
        <w:t>.000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zł</w:t>
      </w:r>
      <w:r w:rsidR="001A5BE2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w przypadku zjazdów/konferencji europejskich i kwoty </w:t>
      </w:r>
      <w:r w:rsidR="00D31ADB">
        <w:rPr>
          <w:rFonts w:ascii="Arial" w:eastAsia="Times New Roman" w:hAnsi="Arial" w:cs="Arial"/>
          <w:sz w:val="18"/>
          <w:szCs w:val="18"/>
          <w:lang w:eastAsia="pl-PL"/>
        </w:rPr>
        <w:t>10</w:t>
      </w:r>
      <w:bookmarkStart w:id="0" w:name="_GoBack"/>
      <w:bookmarkEnd w:id="0"/>
      <w:r w:rsidR="001A5BE2" w:rsidRPr="00E379E0">
        <w:rPr>
          <w:rFonts w:ascii="Arial" w:eastAsia="Times New Roman" w:hAnsi="Arial" w:cs="Arial"/>
          <w:sz w:val="18"/>
          <w:szCs w:val="18"/>
          <w:lang w:eastAsia="pl-PL"/>
        </w:rPr>
        <w:t>.000,00 zł w przypadku zjazdów/konferencji pozaeuropejskich.</w:t>
      </w:r>
      <w:r w:rsidR="00173D19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Koszty udziału w zjeździe lub konferencji ponad kwoty wymienione w </w:t>
      </w:r>
      <w:r w:rsidR="00384F81" w:rsidRPr="00E379E0">
        <w:rPr>
          <w:rFonts w:ascii="Arial" w:eastAsia="Times New Roman" w:hAnsi="Arial" w:cs="Arial"/>
          <w:sz w:val="18"/>
          <w:szCs w:val="18"/>
          <w:lang w:eastAsia="pl-PL"/>
        </w:rPr>
        <w:t>poprzednim zdaniu</w:t>
      </w:r>
      <w:r w:rsidR="00173D19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uczestnik pokrywa z własnych środków.</w:t>
      </w:r>
      <w:r w:rsidR="00E852FD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18653D9" w14:textId="77777777" w:rsidR="001967C5" w:rsidRPr="00E379E0" w:rsidRDefault="001967C5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 Warunki ubiegania się o grant wyjazdowy PTD</w:t>
      </w:r>
    </w:p>
    <w:p w14:paraId="2AA786D8" w14:textId="77777777" w:rsidR="00DC7822" w:rsidRPr="00E379E0" w:rsidRDefault="00DC7822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4B8141" w14:textId="106E4F80" w:rsidR="001967C5" w:rsidRPr="00E379E0" w:rsidRDefault="001967C5" w:rsidP="00DC7822">
      <w:pPr>
        <w:pStyle w:val="Akapitzlist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O grant wyjazdowy PTD mogą ubiegać 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się osoby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, któr</w:t>
      </w:r>
      <w:r w:rsidR="00806DD0" w:rsidRPr="00E379E0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0AA50C9" w14:textId="7AE77BA0" w:rsidR="001967C5" w:rsidRPr="00E379E0" w:rsidRDefault="00E02213" w:rsidP="00E022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1967C5" w:rsidRPr="00E379E0">
        <w:rPr>
          <w:rFonts w:ascii="Arial" w:eastAsia="Times New Roman" w:hAnsi="Arial" w:cs="Arial"/>
          <w:sz w:val="18"/>
          <w:szCs w:val="18"/>
          <w:lang w:eastAsia="pl-PL"/>
        </w:rPr>
        <w:t>ą członkami PTD</w:t>
      </w:r>
      <w:r w:rsidR="00541E72">
        <w:rPr>
          <w:rFonts w:ascii="Arial" w:eastAsia="Times New Roman" w:hAnsi="Arial" w:cs="Arial"/>
          <w:sz w:val="18"/>
          <w:szCs w:val="18"/>
          <w:lang w:eastAsia="pl-PL"/>
        </w:rPr>
        <w:t xml:space="preserve"> od co najmniej12 miesięcy</w:t>
      </w:r>
      <w:r w:rsidR="001967C5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i posiadają opłacone składki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0EA155F" w14:textId="332DA911" w:rsidR="001967C5" w:rsidRPr="00E379E0" w:rsidRDefault="00E02213" w:rsidP="00E022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1967C5" w:rsidRPr="00E379E0">
        <w:rPr>
          <w:rFonts w:ascii="Arial" w:eastAsia="Times New Roman" w:hAnsi="Arial" w:cs="Arial"/>
          <w:sz w:val="18"/>
          <w:szCs w:val="18"/>
          <w:lang w:eastAsia="pl-PL"/>
        </w:rPr>
        <w:t>ą autorami przedstawiającymi pracę swojego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967C5" w:rsidRPr="00E379E0">
        <w:rPr>
          <w:rFonts w:ascii="Arial" w:eastAsia="Times New Roman" w:hAnsi="Arial" w:cs="Arial"/>
          <w:sz w:val="18"/>
          <w:szCs w:val="18"/>
          <w:lang w:eastAsia="pl-PL"/>
        </w:rPr>
        <w:t>autorstwa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lub współautorstwa</w:t>
      </w:r>
      <w:r w:rsidR="001967C5" w:rsidRPr="00E379E0">
        <w:rPr>
          <w:rFonts w:ascii="Arial" w:eastAsia="Times New Roman" w:hAnsi="Arial" w:cs="Arial"/>
          <w:sz w:val="18"/>
          <w:szCs w:val="18"/>
          <w:lang w:eastAsia="pl-PL"/>
        </w:rPr>
        <w:t>, przyjętą do prezentacji ustnej lub plakatowej na odbywającym się w kraju lub zagranicą międzynarodowym zjeździe lub konferencji diabetologicznej</w:t>
      </w:r>
      <w:r w:rsidR="00DC7822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organizowanej przez </w:t>
      </w:r>
      <w:r w:rsidR="001967C5" w:rsidRPr="00E379E0">
        <w:rPr>
          <w:rFonts w:ascii="Arial" w:eastAsia="Times New Roman" w:hAnsi="Arial" w:cs="Arial"/>
          <w:sz w:val="18"/>
          <w:szCs w:val="18"/>
          <w:lang w:eastAsia="pl-PL"/>
        </w:rPr>
        <w:t>EASD, ADA, ISPAD, gru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p naukowych</w:t>
      </w:r>
      <w:r w:rsidR="00DC7822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lub roboczych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tych towarzystw, przy czym</w:t>
      </w:r>
      <w:r w:rsidR="00C5128E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g</w:t>
      </w:r>
      <w:r w:rsidR="00C5128E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rant 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wyjazdowy może</w:t>
      </w:r>
      <w:r w:rsidR="00C5128E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być przyznany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tylko</w:t>
      </w:r>
      <w:r w:rsidR="00C5128E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osobie prezentującej prac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C5128E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podczas zjazdu/konferencji. </w:t>
      </w:r>
    </w:p>
    <w:p w14:paraId="1ED1376B" w14:textId="43E09AC6" w:rsidR="001040D6" w:rsidRPr="001040D6" w:rsidRDefault="00E02213" w:rsidP="001040D6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pl-PL"/>
        </w:rPr>
      </w:pPr>
      <w:r w:rsidRPr="001040D6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1967C5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ą w </w:t>
      </w:r>
      <w:r w:rsidR="00EC7681" w:rsidRPr="001040D6">
        <w:rPr>
          <w:rFonts w:ascii="Arial" w:eastAsia="Times New Roman" w:hAnsi="Arial" w:cs="Arial"/>
          <w:sz w:val="18"/>
          <w:szCs w:val="18"/>
          <w:lang w:eastAsia="pl-PL"/>
        </w:rPr>
        <w:t>wieku</w:t>
      </w:r>
      <w:r w:rsidR="00173D19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 do</w:t>
      </w:r>
      <w:r w:rsidR="00EC7681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 40 lat</w:t>
      </w:r>
      <w:r w:rsidR="001967C5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 do ostatniego dnia miesiąca, w którym odbywa się dany zjazd lub konferencja</w:t>
      </w:r>
      <w:r w:rsidR="001040D6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1040D6">
        <w:rPr>
          <w:rFonts w:ascii="Arial" w:eastAsia="Times New Roman" w:hAnsi="Arial" w:cs="Arial"/>
          <w:sz w:val="18"/>
          <w:szCs w:val="18"/>
          <w:lang w:eastAsia="pl-PL"/>
        </w:rPr>
        <w:t>chyba że wykażą</w:t>
      </w:r>
      <w:r w:rsidR="001040D6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, że w okresie 3 lat poprzedzających </w:t>
      </w:r>
      <w:r w:rsidR="001040D6">
        <w:rPr>
          <w:rFonts w:ascii="Arial" w:eastAsia="Times New Roman" w:hAnsi="Arial" w:cs="Arial"/>
          <w:sz w:val="18"/>
          <w:szCs w:val="18"/>
          <w:lang w:eastAsia="pl-PL"/>
        </w:rPr>
        <w:t>zjazd lub konferencję korzystali</w:t>
      </w:r>
      <w:r w:rsidR="001040D6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 ze zwolnienia lekarskiego lub urlopów przyznawanych na podstawie przepisów prawa pracy w związku z urodzeniem lub przysposobieniem dziecka przez okres dłuższy niż 6 miesięcy.   </w:t>
      </w:r>
    </w:p>
    <w:p w14:paraId="5E330159" w14:textId="1D7EA56F" w:rsidR="001967C5" w:rsidRPr="001040D6" w:rsidRDefault="00E02213" w:rsidP="00E022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040D6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1967C5" w:rsidRPr="001040D6">
        <w:rPr>
          <w:rFonts w:ascii="Arial" w:eastAsia="Times New Roman" w:hAnsi="Arial" w:cs="Arial"/>
          <w:sz w:val="18"/>
          <w:szCs w:val="18"/>
          <w:lang w:eastAsia="pl-PL"/>
        </w:rPr>
        <w:t xml:space="preserve">adesłali kompletne zgłoszenie o </w:t>
      </w:r>
      <w:r w:rsidR="00EC7681" w:rsidRPr="001040D6">
        <w:rPr>
          <w:rFonts w:ascii="Arial" w:eastAsia="Times New Roman" w:hAnsi="Arial" w:cs="Arial"/>
          <w:sz w:val="18"/>
          <w:szCs w:val="18"/>
          <w:lang w:eastAsia="pl-PL"/>
        </w:rPr>
        <w:t>przyznanie grantu (p. pkt. III.1</w:t>
      </w:r>
      <w:r w:rsidR="001967C5" w:rsidRPr="001040D6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77ECDD3D" w14:textId="51F2BACA" w:rsidR="00DC7822" w:rsidRPr="00E379E0" w:rsidRDefault="00DC7822" w:rsidP="00DC7822">
      <w:pPr>
        <w:shd w:val="clear" w:color="auto" w:fill="FFFFFF"/>
        <w:spacing w:before="100" w:beforeAutospacing="1" w:after="100" w:afterAutospacing="1" w:line="255" w:lineRule="atLeast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2. Jeżeli przemawiają za tym szczególne okoliczności, Zarząd Główny PTD może podjąć decyzję o przyznaniu grantu wyjazdowego na międzynarodową konferencję inną niż wymieniona w ust. 1, pkt 2 powyżej.</w:t>
      </w:r>
    </w:p>
    <w:p w14:paraId="65C799C2" w14:textId="77777777" w:rsidR="001967C5" w:rsidRPr="00E379E0" w:rsidRDefault="001967C5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 Zasady ubiegania się o grant wyjazdowy PTD</w:t>
      </w:r>
    </w:p>
    <w:p w14:paraId="35628CEE" w14:textId="77777777" w:rsidR="00EC7681" w:rsidRPr="00E379E0" w:rsidRDefault="00EC7681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C55E0E" w14:textId="77777777" w:rsidR="001967C5" w:rsidRPr="00E379E0" w:rsidRDefault="001967C5" w:rsidP="001967C5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Zgłoszenie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osoby ubiegającej się o grant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powinno zawierać:</w:t>
      </w:r>
    </w:p>
    <w:p w14:paraId="4EB5FF86" w14:textId="67F4B9D6" w:rsidR="001967C5" w:rsidRPr="00E379E0" w:rsidRDefault="001967C5" w:rsidP="00E02213">
      <w:pPr>
        <w:pStyle w:val="Akapitzlist"/>
        <w:numPr>
          <w:ilvl w:val="1"/>
          <w:numId w:val="7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wniosek o przydzielenie grantu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wraz z określeniem wnioskowanej kwoty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oraz kwestionariusz z wszystkimi danymi osobowymi (imię, nazwisko, datę urodzenia, 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miejsce zamieszkania, miejsce zatrudnienia, numer rachunku bankowego, na który miałby zostać przekazany grant),</w:t>
      </w:r>
    </w:p>
    <w:p w14:paraId="3718999D" w14:textId="77777777" w:rsidR="001967C5" w:rsidRPr="00E379E0" w:rsidRDefault="001967C5" w:rsidP="00E02213">
      <w:pPr>
        <w:pStyle w:val="Akapitzlist"/>
        <w:numPr>
          <w:ilvl w:val="1"/>
          <w:numId w:val="7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oświadczenie o opłaceniu skład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k PTD wraz z informacją o przynależności do Oddziału PTD,</w:t>
      </w:r>
    </w:p>
    <w:p w14:paraId="45C9DF05" w14:textId="77777777" w:rsidR="001967C5" w:rsidRPr="00E379E0" w:rsidRDefault="001967C5" w:rsidP="00E02213">
      <w:pPr>
        <w:pStyle w:val="Akapitzlist"/>
        <w:numPr>
          <w:ilvl w:val="1"/>
          <w:numId w:val="7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streszczenie przyjętej do prezentacji pracy wraz z decyzją organizatora zjazdu o jej przyjęciu do prezentacji,</w:t>
      </w:r>
    </w:p>
    <w:p w14:paraId="6C7DAB7D" w14:textId="77777777" w:rsidR="001967C5" w:rsidRPr="00E379E0" w:rsidRDefault="001967C5" w:rsidP="00E02213">
      <w:pPr>
        <w:pStyle w:val="Akapitzlist"/>
        <w:numPr>
          <w:ilvl w:val="1"/>
          <w:numId w:val="7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informację o kosztach uczestnictwa w danym zjeździe lub konferencji (opłata rejestracyjna, szacowany koszt podróży, noclegów itp.),</w:t>
      </w:r>
    </w:p>
    <w:p w14:paraId="2C28D119" w14:textId="77777777" w:rsidR="001967C5" w:rsidRPr="00E379E0" w:rsidRDefault="001967C5" w:rsidP="00E02213">
      <w:pPr>
        <w:pStyle w:val="Akapitzlist"/>
        <w:numPr>
          <w:ilvl w:val="1"/>
          <w:numId w:val="7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oświadczenie o akceptacji treści niniejszego Regulaminu,</w:t>
      </w:r>
    </w:p>
    <w:p w14:paraId="34EA7B22" w14:textId="4E72531B" w:rsidR="002821D3" w:rsidRPr="00E379E0" w:rsidRDefault="001967C5" w:rsidP="002B6923">
      <w:pPr>
        <w:pStyle w:val="Akapitzlist"/>
        <w:numPr>
          <w:ilvl w:val="1"/>
          <w:numId w:val="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zgodę na przetwarzanie danych osobowych w celach związanych z realizacją procedur przyznania grantu: „</w:t>
      </w:r>
      <w:r w:rsidR="002B6923" w:rsidRPr="00E379E0">
        <w:t xml:space="preserve"> </w:t>
      </w:r>
      <w:r w:rsidR="002B6923" w:rsidRPr="00E379E0">
        <w:rPr>
          <w:rFonts w:ascii="Arial" w:eastAsia="Times New Roman" w:hAnsi="Arial" w:cs="Arial"/>
          <w:sz w:val="18"/>
          <w:szCs w:val="18"/>
          <w:lang w:eastAsia="pl-PL"/>
        </w:rPr>
        <w:t>Wyrażam zgodę na przetwarzanie moich danych osobowych przekazanych dla potrzeb przyznania i rozliczenia grantu wyjazdowego, a w razie otrzymania grantu na publikację mojego imienia i nazwiska, stopnia naukowego oraz miejsca pracy na stronie</w:t>
      </w:r>
      <w:r w:rsidR="00FB3CB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www.ptdiab.pl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2821D3" w:rsidRPr="00E379E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2829308" w14:textId="5D4AEDF9" w:rsidR="002B299E" w:rsidRPr="00E379E0" w:rsidRDefault="002B299E" w:rsidP="002821D3">
      <w:pPr>
        <w:pStyle w:val="Akapitzlist"/>
        <w:numPr>
          <w:ilvl w:val="1"/>
          <w:numId w:val="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Oświadczenie do celów Urzędu Skarbowego, dostępne do pobrania</w:t>
      </w:r>
      <w:r w:rsidR="00FB3CB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na stronie </w:t>
      </w:r>
      <w:hyperlink r:id="rId7" w:history="1">
        <w:r w:rsidR="00FB3CB1" w:rsidRPr="00E379E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www.ptdiab.pl</w:t>
        </w:r>
      </w:hyperlink>
      <w:r w:rsidR="00FB3CB1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.</w:t>
      </w:r>
    </w:p>
    <w:p w14:paraId="064F5EEB" w14:textId="7BF3590D" w:rsidR="001967C5" w:rsidRPr="00E379E0" w:rsidRDefault="001967C5" w:rsidP="00196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Kompletne zgłoszenie, obejmujące dokume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nty wymienione w pkt. III.1 a)-</w:t>
      </w:r>
      <w:r w:rsidR="00DC7822" w:rsidRPr="00E379E0">
        <w:rPr>
          <w:rFonts w:ascii="Arial" w:eastAsia="Times New Roman" w:hAnsi="Arial" w:cs="Arial"/>
          <w:sz w:val="18"/>
          <w:szCs w:val="18"/>
          <w:lang w:eastAsia="pl-PL"/>
        </w:rPr>
        <w:t>g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), należy przesłać na adres: </w:t>
      </w:r>
      <w:hyperlink r:id="rId8" w:tgtFrame="_self" w:history="1">
        <w:r w:rsidRPr="00E379E0">
          <w:rPr>
            <w:rFonts w:ascii="Arial" w:eastAsia="Times New Roman" w:hAnsi="Arial" w:cs="Arial"/>
            <w:sz w:val="18"/>
            <w:szCs w:val="18"/>
            <w:lang w:eastAsia="pl-PL"/>
          </w:rPr>
          <w:t>granty.ptd@op.pl</w:t>
        </w:r>
      </w:hyperlink>
      <w:r w:rsidRPr="00E379E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2821D3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Zgłoszenie niekompletne nie będzie rozpatrywane przez PTD. PTD nie ma obowiązku wzywania wnioskodawcy do uzupełnienia braków zgłoszenia.</w:t>
      </w:r>
    </w:p>
    <w:p w14:paraId="2DF91C03" w14:textId="77777777" w:rsidR="001967C5" w:rsidRPr="00E379E0" w:rsidRDefault="001967C5" w:rsidP="00196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W ciągu 30 dni od otrzymania zgłoszenia Zarząd Główny PTD</w:t>
      </w:r>
      <w:r w:rsidR="002821D3" w:rsidRPr="00E379E0">
        <w:rPr>
          <w:rFonts w:ascii="Arial" w:eastAsia="Times New Roman" w:hAnsi="Arial" w:cs="Arial"/>
          <w:sz w:val="18"/>
          <w:szCs w:val="18"/>
          <w:lang w:eastAsia="pl-PL"/>
        </w:rPr>
        <w:t>, uwzględniając rekomendację Komisji Nagród,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podejmie decyzje o przyznaniu grantu i jego wysokości w formie uchwały.</w:t>
      </w:r>
      <w:r w:rsidR="002821D3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W tym terminie Zarząd Główny PTD jest uprawniony zwrócić się do wnioskodawcy o dodatkowe wyjaśnienia lub udzielenie odpowiedzi na pytania Zarządu Głównego lub Komisji Nagród.</w:t>
      </w:r>
    </w:p>
    <w:p w14:paraId="48B4733C" w14:textId="77777777" w:rsidR="001967C5" w:rsidRPr="00E379E0" w:rsidRDefault="001967C5" w:rsidP="00196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O przyznaniu grantu wnioskodawc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zostan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powiadomi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drogą elektroniczną</w:t>
      </w:r>
      <w:r w:rsidR="00E02213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na adres, z którego przesłał zgłoszenie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w ciągu 3 dni od podjęcia decyzji przez Zarząd Główny.</w:t>
      </w:r>
    </w:p>
    <w:p w14:paraId="4DB59DF6" w14:textId="77777777" w:rsidR="002821D3" w:rsidRPr="00E379E0" w:rsidRDefault="002821D3" w:rsidP="002821D3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Grant może zostać przeznaczony 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wyłącznie, jako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wsparcie działań edukacyjnych i naukowych, </w:t>
      </w:r>
      <w:r w:rsidR="00EC7681" w:rsidRPr="00E379E0">
        <w:rPr>
          <w:rFonts w:ascii="Arial" w:eastAsia="Times New Roman" w:hAnsi="Arial" w:cs="Arial"/>
          <w:sz w:val="18"/>
          <w:szCs w:val="18"/>
          <w:lang w:eastAsia="pl-PL"/>
        </w:rPr>
        <w:t>co oznacza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możliwość pokrycia kosztów związanych z udziałem w międzynarodowym zjeździe lub konferencji, Grant wyjazdowy nie może zostać wykorzystany na sfinansowanie rozrywek (takich jak np. wycieczki, czas wolny, spotkania towarzyskie). </w:t>
      </w:r>
    </w:p>
    <w:p w14:paraId="4B79C60D" w14:textId="77777777" w:rsidR="00F63163" w:rsidRPr="00E379E0" w:rsidRDefault="00F63163" w:rsidP="00F63163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Osoba, której przyznano grant wyjazdowy, pokrywa koszty udziału w zjeździe lub konferencji z własnych środków, a następnie otrzymuje zwrot poniesionych kosztów</w:t>
      </w:r>
      <w:r w:rsidR="00E56FDA"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na zasadach określonych w pkt 7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poniżej. Nie przewiduje się wypłaty zaliczek.</w:t>
      </w:r>
    </w:p>
    <w:p w14:paraId="19AFB8D7" w14:textId="41AC4108" w:rsidR="00F63163" w:rsidRPr="00E379E0" w:rsidRDefault="00F63163" w:rsidP="00F63163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W terminie miesiąca od zakończenia zjazdu lub konferencji osoba, która otrzymała grant wyjazdowy, przedstawia rozliczenie grantu, obejmujące oryginały faktur, paragonów, rachunków lub potwierdzeń wpłat, z których wynika, że zostały poniesione przez beneficjenta grantu, przesyłając je na adres: Polskie Towarzystwo Diabetologiczne ul. Polskich Kolei Państwowych 6, 92-402 Łódź. Do rozliczenia należy załączyć sprawozdanie merytoryczne z udziału w zjeździe lub konferencji Niezłożenie w terminie rozliczenia z wyjazdu finansowanego z przyznanego grantu wraz ze sprawozdaniem merytorycznym jest jednoznaczn</w:t>
      </w:r>
      <w:r w:rsidR="00E56FDA" w:rsidRPr="00E379E0">
        <w:rPr>
          <w:rFonts w:ascii="Arial" w:eastAsia="Times New Roman" w:hAnsi="Arial" w:cs="Arial"/>
          <w:sz w:val="18"/>
          <w:szCs w:val="18"/>
          <w:lang w:eastAsia="pl-PL"/>
        </w:rPr>
        <w:t>e z rezygnacji z grantu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 i zwalnia PTD ze zwrotu poniesionych przez uczestnika zjazdu lub konferencji kosztów. W takiej sytuacji beneficjentowi grantu nie przysługują żadne roszczenia względem PTD. Nieterminowe rozliczenie grantu uniemożliwia ponowne ubieganie się o grant w przez kolejne 2 lata. PTD przesyła środki z grantu na rachunek beneficjenta w terminie 30 dni od dnia przesłania kompletnego rozliczenia grantu. Za datę spełnienia świadczenia uznaje się datę obciążenia rachunku bankowego PTD. </w:t>
      </w:r>
    </w:p>
    <w:p w14:paraId="0552DAF6" w14:textId="77777777" w:rsidR="00384F81" w:rsidRPr="00E379E0" w:rsidRDefault="00F63163" w:rsidP="001967C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Osoby, którym zostanie przyznany grant, po zakończeniu roku kalendarzowego otrzymają deklarację podatkową PIT dotyczącą cał</w:t>
      </w:r>
      <w:r w:rsidR="00E56FDA" w:rsidRPr="00E379E0">
        <w:rPr>
          <w:rFonts w:ascii="Arial" w:eastAsia="Times New Roman" w:hAnsi="Arial" w:cs="Arial"/>
          <w:sz w:val="18"/>
          <w:szCs w:val="18"/>
          <w:lang w:eastAsia="pl-PL"/>
        </w:rPr>
        <w:t>ości sumy otrzymanego grantu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, gdyż podlega ono ogólnym zasadom opodatkowania.</w:t>
      </w:r>
    </w:p>
    <w:p w14:paraId="56A6D473" w14:textId="558807AE" w:rsidR="001967C5" w:rsidRPr="00E379E0" w:rsidRDefault="001967C5" w:rsidP="001967C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Informacje o przyznaniu grantu wyjazdowego PTD zostaną ogłoszone na stronie internetowej </w:t>
      </w:r>
      <w:r w:rsidR="00FB3CB1" w:rsidRPr="00E379E0">
        <w:t>www.ptadiab.pl</w:t>
      </w:r>
      <w:r w:rsidRPr="00E379E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CE076CB" w14:textId="00A10F2E" w:rsidR="00952C3F" w:rsidRPr="00E379E0" w:rsidRDefault="001E2961" w:rsidP="001967C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W przypadku, gdy udział w międzynarodowym zjeździe lub konferencji finansowany jest z grantu wyjazdowego PTD, nie ma możliwości pokrycia jego kosztów z innego źródła finansowania PTD, w szczególności z grantu naukowego PTD.</w:t>
      </w:r>
    </w:p>
    <w:p w14:paraId="59312BBF" w14:textId="77777777" w:rsidR="002B6923" w:rsidRPr="00E379E0" w:rsidRDefault="001967C5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</w:t>
      </w:r>
      <w:r w:rsidR="002B6923"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Ochrona danych osobowych</w:t>
      </w: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14:paraId="4E6834C6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 xml:space="preserve">Administratorem danych osobowych osób ubiegających się o grant jest PTD. </w:t>
      </w:r>
    </w:p>
    <w:p w14:paraId="0EBD6979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lastRenderedPageBreak/>
        <w:t>Dane osobowe osób ubiegających się o grant będą przetwarzane w celu podjęcia decyzji o przyznaniu grantu i jego rozliczeniu.</w:t>
      </w:r>
    </w:p>
    <w:p w14:paraId="1383FCC2" w14:textId="7DEF0D06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>Odbiorcą danych osobowych osób ubiegających się o grant będą podmiot, któremu powierzono obsługę księgową PTD, podmiot, któremu powierzono obsługę biurową PTD, użytkownicy strony internetowej</w:t>
      </w:r>
      <w:r w:rsidR="000B6E5C" w:rsidRPr="00E379E0">
        <w:rPr>
          <w:rFonts w:ascii="Arial" w:hAnsi="Arial" w:cs="Arial"/>
          <w:sz w:val="18"/>
          <w:szCs w:val="18"/>
        </w:rPr>
        <w:t xml:space="preserve"> www.ptdiab.pl</w:t>
      </w:r>
      <w:r w:rsidRPr="00E379E0">
        <w:rPr>
          <w:rFonts w:ascii="Arial" w:hAnsi="Arial" w:cs="Arial"/>
          <w:sz w:val="18"/>
          <w:szCs w:val="18"/>
        </w:rPr>
        <w:t>, organy skarbowe.</w:t>
      </w:r>
    </w:p>
    <w:p w14:paraId="498461FD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>Dane osobowe osób ubiegających się o grant będą przechowywane przez okres do podjęcia decyzji o przyznaniu grantu, a w razie jego przyznania - dodatkowo przez 5 lat po zakończeniu roku kalendarzowego, w którym przyznany został grant.</w:t>
      </w:r>
    </w:p>
    <w:p w14:paraId="76AFF3A2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>Osobom ubiegającym się o grant przysługuje prawo dostępu do swoich danych osobowych, prawo do żądania poprawienia, usunięcia lub ograniczenia przetwarzania tych danych, prawo do przenoszenia danych.</w:t>
      </w:r>
    </w:p>
    <w:p w14:paraId="57228E0E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>Osoba ubiegająca się o grany może w dowolnym momencie cofnąć udzieloną zgodę na przetwarzanie jej danych osobowych, co pozostanie jednak bez wpływu na zgodność z prawem przetwarzania, którego dokonano na podstawie zgody przed jej cofnięciem. Cofnięcie zgody na przetwarzanie danych osobowych przed rozstrzygnięciem wniosku grantowego jest równoznaczne z rezygnacją z ubiegania się o grant.</w:t>
      </w:r>
    </w:p>
    <w:p w14:paraId="63B080D5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>Osoba ubiegająca się o grant ma prawo wniesienia skargi do organu nadzoru, jeśli uzna, iż przetwarzanie jego danych osobowych narusza przepisy.</w:t>
      </w:r>
    </w:p>
    <w:p w14:paraId="054B4BBE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>Podanie przez osobę ubiegającą się o grant danych osobowych jest dobrowolne, przy czym niepodanie danych osobowych uniemożliwia rozstrzygnięcie wniosku o przyznanie grantu..</w:t>
      </w:r>
    </w:p>
    <w:p w14:paraId="34A55BC4" w14:textId="77777777" w:rsidR="002B6923" w:rsidRPr="00E379E0" w:rsidRDefault="002B6923" w:rsidP="002B692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E379E0">
        <w:rPr>
          <w:rFonts w:ascii="Arial" w:hAnsi="Arial" w:cs="Arial"/>
          <w:sz w:val="18"/>
          <w:szCs w:val="18"/>
        </w:rPr>
        <w:t>Dane osobowe osób ubiegający się o grant będą przetwarzane częściowo w sposób zautomatyzowany – w systemach informatycznych PTD.</w:t>
      </w:r>
    </w:p>
    <w:p w14:paraId="0AD09757" w14:textId="77777777" w:rsidR="002B6923" w:rsidRPr="00E379E0" w:rsidRDefault="002B6923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F4A8A84" w14:textId="77777777" w:rsidR="001967C5" w:rsidRPr="00E379E0" w:rsidRDefault="002B6923" w:rsidP="001967C5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V. </w:t>
      </w:r>
      <w:r w:rsidR="001967C5" w:rsidRPr="00E379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Postanowienia końcowe</w:t>
      </w:r>
    </w:p>
    <w:p w14:paraId="69B0E6B5" w14:textId="77777777" w:rsidR="001967C5" w:rsidRPr="00E379E0" w:rsidRDefault="001967C5" w:rsidP="001967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PTD zastrzega sobie prawo zmiany postanowień niniejszego Regulaminu w przypadku zmian przepisów prawnych lub innych istotnych zdarzeń mających wpływ na zasady finansowania wyjazdów na międzynarodowe zjazdy naukowe.</w:t>
      </w:r>
    </w:p>
    <w:p w14:paraId="428F983A" w14:textId="77777777" w:rsidR="00384F81" w:rsidRPr="00E379E0" w:rsidRDefault="001967C5" w:rsidP="002821D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 xml:space="preserve">Konkurs nie podlega przepisom ustawy z dnia </w:t>
      </w:r>
      <w:r w:rsidR="002821D3" w:rsidRPr="00E379E0">
        <w:rPr>
          <w:rFonts w:ascii="Arial" w:eastAsia="Times New Roman" w:hAnsi="Arial" w:cs="Arial"/>
          <w:sz w:val="18"/>
          <w:szCs w:val="18"/>
          <w:lang w:eastAsia="pl-PL"/>
        </w:rPr>
        <w:t>19 listopada 2009 r. o grach hazardowych (Dz. U. nr 201, poz. 1540 ze zm.)</w:t>
      </w:r>
      <w:r w:rsidR="00384F81" w:rsidRPr="00E379E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9CFC72F" w14:textId="77777777" w:rsidR="001967C5" w:rsidRPr="00E379E0" w:rsidRDefault="001967C5" w:rsidP="002821D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We wszystkich sprawach nieuregulowanych w niniejszym Regulaminie zastosowanie mają przepisy kodeksu cywilnego.</w:t>
      </w:r>
    </w:p>
    <w:p w14:paraId="53190EF2" w14:textId="77777777" w:rsidR="00205FE3" w:rsidRPr="00E379E0" w:rsidRDefault="002821D3" w:rsidP="00384F81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79E0">
        <w:rPr>
          <w:rFonts w:ascii="Arial" w:eastAsia="Times New Roman" w:hAnsi="Arial" w:cs="Arial"/>
          <w:sz w:val="18"/>
          <w:szCs w:val="18"/>
          <w:lang w:eastAsia="pl-PL"/>
        </w:rPr>
        <w:t>W imieniu Zarządu Głównego</w:t>
      </w:r>
    </w:p>
    <w:p w14:paraId="035F2E96" w14:textId="77777777" w:rsidR="00133300" w:rsidRPr="00E379E0" w:rsidRDefault="00133300" w:rsidP="00133300">
      <w:pPr>
        <w:jc w:val="both"/>
      </w:pPr>
    </w:p>
    <w:p w14:paraId="758AEDB5" w14:textId="77777777" w:rsidR="00133300" w:rsidRPr="00E379E0" w:rsidRDefault="00133300" w:rsidP="00133300">
      <w:pPr>
        <w:jc w:val="both"/>
      </w:pPr>
      <w:r w:rsidRPr="00E379E0">
        <w:t>Prof. dr hab. n. med. Dorota Zozulińska-Ziółkiewicz</w:t>
      </w:r>
    </w:p>
    <w:p w14:paraId="6DCE21F3" w14:textId="77777777" w:rsidR="00133300" w:rsidRDefault="00133300" w:rsidP="00133300">
      <w:pPr>
        <w:jc w:val="both"/>
      </w:pPr>
      <w:r w:rsidRPr="00E379E0">
        <w:t>Prezes Zarządu Głównego</w:t>
      </w:r>
    </w:p>
    <w:p w14:paraId="562629E1" w14:textId="77777777" w:rsidR="00133300" w:rsidRPr="001967C5" w:rsidRDefault="00133300" w:rsidP="00384F81">
      <w:pPr>
        <w:shd w:val="clear" w:color="auto" w:fill="FFFFFF"/>
        <w:spacing w:before="100" w:beforeAutospacing="1" w:after="100" w:afterAutospacing="1" w:line="255" w:lineRule="atLeast"/>
        <w:jc w:val="both"/>
      </w:pPr>
    </w:p>
    <w:sectPr w:rsidR="00133300" w:rsidRPr="0019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4F8FE6" w15:done="0"/>
  <w15:commentEx w15:paraId="4CCEA7A1" w15:done="0"/>
  <w15:commentEx w15:paraId="0C50533C" w15:done="0"/>
  <w15:commentEx w15:paraId="5F2923C7" w15:paraIdParent="0C5053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F8FE6" w16cid:durableId="211CC0D7"/>
  <w16cid:commentId w16cid:paraId="4CCEA7A1" w16cid:durableId="211CC1EE"/>
  <w16cid:commentId w16cid:paraId="0C50533C" w16cid:durableId="211CC0D8"/>
  <w16cid:commentId w16cid:paraId="5F2923C7" w16cid:durableId="211CC1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316"/>
    <w:multiLevelType w:val="multilevel"/>
    <w:tmpl w:val="7AF2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5305E"/>
    <w:multiLevelType w:val="multilevel"/>
    <w:tmpl w:val="842A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70134"/>
    <w:multiLevelType w:val="multilevel"/>
    <w:tmpl w:val="B55E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117EE"/>
    <w:multiLevelType w:val="hybridMultilevel"/>
    <w:tmpl w:val="9140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64B4"/>
    <w:multiLevelType w:val="hybridMultilevel"/>
    <w:tmpl w:val="22DA6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32986"/>
    <w:multiLevelType w:val="multilevel"/>
    <w:tmpl w:val="8946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72A7A"/>
    <w:multiLevelType w:val="multilevel"/>
    <w:tmpl w:val="841A6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B7DF4"/>
    <w:multiLevelType w:val="hybridMultilevel"/>
    <w:tmpl w:val="BF468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DA5CB8"/>
    <w:multiLevelType w:val="hybridMultilevel"/>
    <w:tmpl w:val="710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C3A"/>
    <w:multiLevelType w:val="hybridMultilevel"/>
    <w:tmpl w:val="8A42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zezinska Narolski Adwokaci sp. p.">
    <w15:presenceInfo w15:providerId="AD" w15:userId="S::bnadwokaci@brzezinskanarolski.onmicrosoft.com::e0990b96-be6f-46f6-8338-870695d8c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C5"/>
    <w:rsid w:val="00026E6A"/>
    <w:rsid w:val="000274CA"/>
    <w:rsid w:val="000B6E5C"/>
    <w:rsid w:val="001040D6"/>
    <w:rsid w:val="00133300"/>
    <w:rsid w:val="00173D19"/>
    <w:rsid w:val="001967C5"/>
    <w:rsid w:val="001A5BE2"/>
    <w:rsid w:val="001C52DA"/>
    <w:rsid w:val="001E2961"/>
    <w:rsid w:val="00205FE3"/>
    <w:rsid w:val="002821D3"/>
    <w:rsid w:val="002B299E"/>
    <w:rsid w:val="002B6923"/>
    <w:rsid w:val="002D01B2"/>
    <w:rsid w:val="003427A3"/>
    <w:rsid w:val="00384F81"/>
    <w:rsid w:val="00490198"/>
    <w:rsid w:val="00541E72"/>
    <w:rsid w:val="00590493"/>
    <w:rsid w:val="007F1CFF"/>
    <w:rsid w:val="00806DD0"/>
    <w:rsid w:val="008C18E6"/>
    <w:rsid w:val="00952C3F"/>
    <w:rsid w:val="00C5128E"/>
    <w:rsid w:val="00D31ADB"/>
    <w:rsid w:val="00DC7822"/>
    <w:rsid w:val="00E02213"/>
    <w:rsid w:val="00E379E0"/>
    <w:rsid w:val="00E56FDA"/>
    <w:rsid w:val="00E852FD"/>
    <w:rsid w:val="00EC7681"/>
    <w:rsid w:val="00F134A1"/>
    <w:rsid w:val="00F63163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8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67C5"/>
  </w:style>
  <w:style w:type="character" w:styleId="Hipercze">
    <w:name w:val="Hyperlink"/>
    <w:basedOn w:val="Domylnaczcionkaakapitu"/>
    <w:uiPriority w:val="99"/>
    <w:unhideWhenUsed/>
    <w:rsid w:val="001967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67C5"/>
  </w:style>
  <w:style w:type="character" w:styleId="Hipercze">
    <w:name w:val="Hyperlink"/>
    <w:basedOn w:val="Domylnaczcionkaakapitu"/>
    <w:uiPriority w:val="99"/>
    <w:unhideWhenUsed/>
    <w:rsid w:val="001967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.ptd@op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ptdia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9410-8035-49F1-AF98-B619A57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Kołakowska</dc:creator>
  <cp:lastModifiedBy>Karolina Kołakowska</cp:lastModifiedBy>
  <cp:revision>2</cp:revision>
  <dcterms:created xsi:type="dcterms:W3CDTF">2022-06-07T10:01:00Z</dcterms:created>
  <dcterms:modified xsi:type="dcterms:W3CDTF">2022-06-07T10:01:00Z</dcterms:modified>
</cp:coreProperties>
</file>